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E9797" w14:textId="71185648" w:rsidR="009A3D4E" w:rsidRPr="009A3D4E" w:rsidRDefault="00E45289" w:rsidP="009A3D4E">
      <w:pPr>
        <w:tabs>
          <w:tab w:val="center" w:pos="4536"/>
          <w:tab w:val="right" w:pos="7938"/>
          <w:tab w:val="right" w:pos="9639"/>
        </w:tabs>
        <w:ind w:right="2"/>
        <w:rPr>
          <w:rFonts w:ascii="Arial" w:eastAsia="Batang" w:hAnsi="Arial" w:cs="Arial"/>
          <w:b/>
          <w:bCs/>
          <w:sz w:val="28"/>
          <w:szCs w:val="24"/>
          <w:lang w:val="en-GB"/>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45670493"/>
      <w:r w:rsidR="009A3D4E" w:rsidRPr="009A3D4E">
        <w:rPr>
          <w:rFonts w:ascii="Arial" w:eastAsia="Batang" w:hAnsi="Arial" w:cs="Arial"/>
          <w:b/>
          <w:bCs/>
          <w:sz w:val="28"/>
          <w:szCs w:val="24"/>
          <w:lang w:val="en-GB"/>
        </w:rPr>
        <w:t>3GPP TSG RAN WG1 #116</w:t>
      </w:r>
      <w:r w:rsidR="009A3D4E">
        <w:rPr>
          <w:rFonts w:ascii="Arial" w:eastAsia="Batang" w:hAnsi="Arial" w:cs="Arial"/>
          <w:b/>
          <w:bCs/>
          <w:sz w:val="28"/>
          <w:szCs w:val="24"/>
          <w:lang w:val="en-GB"/>
        </w:rPr>
        <w:t xml:space="preserve">                                                     </w:t>
      </w:r>
      <w:r w:rsidR="00FD6C5A" w:rsidRPr="00FD6C5A">
        <w:rPr>
          <w:rFonts w:ascii="Arial" w:eastAsia="Batang" w:hAnsi="Arial" w:cs="Arial"/>
          <w:b/>
          <w:bCs/>
          <w:sz w:val="28"/>
          <w:szCs w:val="24"/>
          <w:lang w:val="en-GB"/>
        </w:rPr>
        <w:t>R1-2400043</w:t>
      </w:r>
    </w:p>
    <w:p w14:paraId="1D4A436A" w14:textId="77777777" w:rsidR="009A3D4E" w:rsidRPr="009A3D4E" w:rsidRDefault="009A3D4E" w:rsidP="009A3D4E">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9A3D4E">
        <w:rPr>
          <w:rFonts w:ascii="Arial" w:eastAsia="MS Mincho" w:hAnsi="Arial" w:cs="Arial"/>
          <w:b/>
          <w:bCs/>
          <w:sz w:val="28"/>
          <w:szCs w:val="24"/>
          <w:lang w:val="en-GB" w:eastAsia="ja-JP"/>
        </w:rPr>
        <w:t>Athens, Greece, February 26</w:t>
      </w:r>
      <w:r w:rsidRPr="009A3D4E">
        <w:rPr>
          <w:rFonts w:ascii="Malgun Gothic" w:eastAsia="Malgun Gothic" w:hAnsi="Malgun Gothic" w:cs="Malgun Gothic" w:hint="eastAsia"/>
          <w:b/>
          <w:bCs/>
          <w:sz w:val="28"/>
          <w:szCs w:val="24"/>
          <w:vertAlign w:val="superscript"/>
          <w:lang w:val="en-GB" w:eastAsia="ko-KR"/>
        </w:rPr>
        <w:t>th</w:t>
      </w:r>
      <w:r w:rsidRPr="009A3D4E">
        <w:rPr>
          <w:rFonts w:ascii="Arial" w:eastAsia="MS Mincho" w:hAnsi="Arial" w:cs="Arial"/>
          <w:b/>
          <w:bCs/>
          <w:sz w:val="28"/>
          <w:szCs w:val="24"/>
          <w:lang w:val="en-GB" w:eastAsia="ja-JP"/>
        </w:rPr>
        <w:t xml:space="preserve"> </w:t>
      </w:r>
      <w:r w:rsidRPr="009A3D4E">
        <w:rPr>
          <w:rFonts w:ascii="Arial" w:eastAsia="Batang" w:hAnsi="Arial" w:cs="Arial"/>
          <w:b/>
          <w:bCs/>
          <w:sz w:val="28"/>
          <w:szCs w:val="24"/>
          <w:lang w:val="en-GB"/>
        </w:rPr>
        <w:t>– March 1</w:t>
      </w:r>
      <w:r w:rsidRPr="009A3D4E">
        <w:rPr>
          <w:rFonts w:ascii="Arial" w:eastAsia="Batang" w:hAnsi="Arial" w:cs="Arial"/>
          <w:b/>
          <w:bCs/>
          <w:sz w:val="28"/>
          <w:szCs w:val="24"/>
          <w:vertAlign w:val="superscript"/>
          <w:lang w:val="en-GB"/>
        </w:rPr>
        <w:t>st</w:t>
      </w:r>
      <w:r w:rsidRPr="009A3D4E">
        <w:rPr>
          <w:rFonts w:ascii="Arial" w:eastAsia="MS Mincho" w:hAnsi="Arial" w:cs="Arial"/>
          <w:b/>
          <w:bCs/>
          <w:sz w:val="28"/>
          <w:szCs w:val="24"/>
          <w:lang w:val="en-GB" w:eastAsia="ja-JP"/>
        </w:rPr>
        <w:t>, 2024</w:t>
      </w:r>
    </w:p>
    <w:bookmarkEnd w:id="0"/>
    <w:p w14:paraId="2AC53D6F" w14:textId="4B1D5297" w:rsidR="003C346D" w:rsidRPr="00C81871" w:rsidRDefault="003C346D" w:rsidP="009A3D4E">
      <w:pPr>
        <w:tabs>
          <w:tab w:val="center" w:pos="4536"/>
          <w:tab w:val="right" w:pos="7938"/>
          <w:tab w:val="right" w:pos="9639"/>
        </w:tabs>
        <w:ind w:right="2"/>
        <w:rPr>
          <w:b/>
          <w:bCs/>
          <w:sz w:val="16"/>
          <w:szCs w:val="16"/>
          <w:highlight w:val="yellow"/>
        </w:rPr>
      </w:pPr>
    </w:p>
    <w:p w14:paraId="6BD290DB" w14:textId="708BAB5B"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4732D8" w:rsidRPr="005C6AE2">
        <w:rPr>
          <w:b/>
        </w:rPr>
        <w:t>8</w:t>
      </w:r>
      <w:r w:rsidR="00184537" w:rsidRPr="005C6AE2">
        <w:rPr>
          <w:b/>
        </w:rPr>
        <w:t>.</w:t>
      </w:r>
      <w:r w:rsidR="009A3D4E">
        <w:rPr>
          <w:b/>
        </w:rPr>
        <w:t>11</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7299B866" w:rsidR="003C346D" w:rsidRPr="00C81871" w:rsidRDefault="003C346D" w:rsidP="004C0F4F">
      <w:pPr>
        <w:spacing w:after="60"/>
        <w:ind w:left="1555" w:hanging="1555"/>
        <w:rPr>
          <w:b/>
          <w:lang w:eastAsia="zh-CN"/>
        </w:rPr>
      </w:pPr>
      <w:r w:rsidRPr="00C81871">
        <w:rPr>
          <w:b/>
        </w:rPr>
        <w:t>Title:</w:t>
      </w:r>
      <w:r w:rsidRPr="00C81871">
        <w:rPr>
          <w:b/>
        </w:rPr>
        <w:tab/>
      </w:r>
      <w:r w:rsidR="009A3D4E" w:rsidRPr="009A3D4E">
        <w:rPr>
          <w:b/>
          <w:lang w:eastAsia="zh-CN"/>
        </w:rPr>
        <w:t>Clarification on remaining issues for eRedCap</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2C4B94B" w14:textId="1BC874B2" w:rsidR="00C46F55" w:rsidRPr="00737C81" w:rsidRDefault="002E5A77" w:rsidP="00C46F55">
      <w:pPr>
        <w:rPr>
          <w:lang w:eastAsia="zh-CN"/>
        </w:rPr>
      </w:pPr>
      <w:r>
        <w:rPr>
          <w:szCs w:val="21"/>
        </w:rPr>
        <w:t>F</w:t>
      </w:r>
      <w:r w:rsidR="009A3D4E">
        <w:rPr>
          <w:szCs w:val="21"/>
        </w:rPr>
        <w:t xml:space="preserve">or </w:t>
      </w:r>
      <w:r>
        <w:rPr>
          <w:lang w:eastAsia="zh-CN"/>
        </w:rPr>
        <w:t xml:space="preserve">FDMed unicast and multicast/broadcast PDSCH reception, the following descriptions are adopted </w:t>
      </w:r>
      <w:r w:rsidR="004732D8" w:rsidRPr="005C6AE2">
        <w:rPr>
          <w:szCs w:val="21"/>
        </w:rPr>
        <w:fldChar w:fldCharType="begin"/>
      </w:r>
      <w:r w:rsidR="004732D8" w:rsidRPr="005C6AE2">
        <w:rPr>
          <w:szCs w:val="21"/>
        </w:rPr>
        <w:instrText xml:space="preserve"> </w:instrText>
      </w:r>
      <w:r w:rsidR="004732D8" w:rsidRPr="005C6AE2">
        <w:rPr>
          <w:rFonts w:hint="eastAsia"/>
          <w:szCs w:val="21"/>
        </w:rPr>
        <w:instrText>REF _Ref94342084 \n \h</w:instrText>
      </w:r>
      <w:r w:rsidR="004732D8" w:rsidRPr="005C6AE2">
        <w:rPr>
          <w:szCs w:val="21"/>
        </w:rPr>
        <w:instrText xml:space="preserve">  \* MERGEFORMAT </w:instrText>
      </w:r>
      <w:r w:rsidR="004732D8" w:rsidRPr="005C6AE2">
        <w:rPr>
          <w:szCs w:val="21"/>
        </w:rPr>
      </w:r>
      <w:r w:rsidR="004732D8" w:rsidRPr="005C6AE2">
        <w:rPr>
          <w:szCs w:val="21"/>
        </w:rPr>
        <w:fldChar w:fldCharType="separate"/>
      </w:r>
      <w:r w:rsidR="004732D8" w:rsidRPr="005C6AE2">
        <w:rPr>
          <w:szCs w:val="21"/>
        </w:rPr>
        <w:t>[1]</w:t>
      </w:r>
      <w:r w:rsidR="004732D8" w:rsidRPr="005C6AE2">
        <w:rPr>
          <w:szCs w:val="21"/>
        </w:rPr>
        <w:fldChar w:fldCharType="end"/>
      </w:r>
      <w:r w:rsidR="006107C1" w:rsidRPr="005C6AE2">
        <w:rPr>
          <w:lang w:eastAsia="zh-CN"/>
        </w:rPr>
        <w:t>.</w:t>
      </w:r>
    </w:p>
    <w:tbl>
      <w:tblPr>
        <w:tblStyle w:val="ad"/>
        <w:tblW w:w="9308" w:type="dxa"/>
        <w:tblLook w:val="04A0" w:firstRow="1" w:lastRow="0" w:firstColumn="1" w:lastColumn="0" w:noHBand="0" w:noVBand="1"/>
      </w:tblPr>
      <w:tblGrid>
        <w:gridCol w:w="9308"/>
      </w:tblGrid>
      <w:tr w:rsidR="00C46F55" w:rsidRPr="007644A3" w14:paraId="05AC60C1" w14:textId="77777777" w:rsidTr="002E5A77">
        <w:trPr>
          <w:trHeight w:val="1884"/>
        </w:trPr>
        <w:tc>
          <w:tcPr>
            <w:tcW w:w="9308" w:type="dxa"/>
          </w:tcPr>
          <w:p w14:paraId="516A8BE5" w14:textId="77777777" w:rsidR="002E5A77" w:rsidRPr="00683C21" w:rsidRDefault="002E5A77" w:rsidP="002E5A77">
            <w:pPr>
              <w:rPr>
                <w:lang w:eastAsia="zh-CN"/>
              </w:rPr>
            </w:pPr>
            <w:r w:rsidRPr="00683C21">
              <w:rPr>
                <w:lang w:eastAsia="zh-CN"/>
              </w:rPr>
              <w:t xml:space="preserve">For a reduced capability UE that indicates </w:t>
            </w:r>
            <w:r w:rsidRPr="00683C21">
              <w:rPr>
                <w:i/>
                <w:iCs/>
              </w:rPr>
              <w:t>supportOfRedCap-r18</w:t>
            </w:r>
            <w:r w:rsidRPr="00683C21">
              <w:t xml:space="preserve"> </w:t>
            </w:r>
            <w:r w:rsidRPr="00683C21">
              <w:rPr>
                <w:lang w:eastAsia="sv-SE"/>
              </w:rPr>
              <w:t>but not indicating FG 48-2</w:t>
            </w:r>
            <w:r w:rsidRPr="00683C21">
              <w:t xml:space="preserve">, </w:t>
            </w:r>
            <w:r w:rsidRPr="00683C21">
              <w:rPr>
                <w:lang w:eastAsia="zh-CN"/>
              </w:rPr>
              <w:t>if the UE is capable of receiving FDMed unicast and multicast/broadcast PDSCH per slot, the UE</w:t>
            </w:r>
            <w:r w:rsidRPr="00683C21">
              <w:t xml:space="preserve"> </w:t>
            </w:r>
            <w:r w:rsidRPr="00683C21">
              <w:rPr>
                <w:lang w:eastAsia="zh-CN"/>
              </w:rPr>
              <w:t>can decode the two PDSCHs, with the two PDSCHs partially or fully overlapping in time in non-overlapping PRBs,</w:t>
            </w:r>
          </w:p>
          <w:p w14:paraId="7F85A621" w14:textId="0B5A7E0A" w:rsidR="002E5A77" w:rsidRPr="00683C21" w:rsidRDefault="002E5A77" w:rsidP="002E5A77">
            <w:pPr>
              <w:pStyle w:val="B1"/>
              <w:widowControl/>
              <w:rPr>
                <w:rFonts w:eastAsia="宋体"/>
                <w:color w:val="000000"/>
                <w:kern w:val="2"/>
                <w:sz w:val="22"/>
                <w:szCs w:val="22"/>
                <w:lang w:val="x-none" w:eastAsia="zh-CN"/>
              </w:rPr>
            </w:pPr>
            <w:r w:rsidRPr="00683C21">
              <w:rPr>
                <w:rFonts w:eastAsia="宋体"/>
                <w:color w:val="000000"/>
                <w:kern w:val="2"/>
                <w:sz w:val="22"/>
                <w:szCs w:val="22"/>
                <w:lang w:val="x-none" w:eastAsia="zh-CN"/>
              </w:rPr>
              <w:t>-</w:t>
            </w:r>
            <w:r w:rsidRPr="00683C21">
              <w:rPr>
                <w:rFonts w:eastAsia="宋体"/>
                <w:color w:val="000000"/>
                <w:kern w:val="2"/>
                <w:sz w:val="22"/>
                <w:szCs w:val="22"/>
                <w:lang w:val="x-none" w:eastAsia="zh-CN"/>
              </w:rPr>
              <w:tab/>
              <w:t xml:space="preserve">if the total number of PRBs allocated is no more than 25 PRBs when configured with SCS </w:t>
            </w:r>
            <w:r w:rsidR="00853B5B" w:rsidRPr="00683C21">
              <w:rPr>
                <w:rFonts w:ascii="Symbol" w:hAnsi="Symbol"/>
                <w:sz w:val="22"/>
                <w:szCs w:val="22"/>
                <w:lang w:eastAsia="zh-CN"/>
              </w:rPr>
              <w:t></w:t>
            </w:r>
            <w:r w:rsidR="00853B5B" w:rsidRPr="00683C21">
              <w:rPr>
                <w:sz w:val="22"/>
                <w:szCs w:val="22"/>
                <w:lang w:eastAsia="zh-CN"/>
              </w:rPr>
              <w:t xml:space="preserve"> </w:t>
            </w:r>
            <w:r w:rsidRPr="00683C21">
              <w:rPr>
                <w:rFonts w:eastAsia="宋体"/>
                <w:color w:val="000000"/>
                <w:kern w:val="2"/>
                <w:sz w:val="22"/>
                <w:szCs w:val="22"/>
                <w:lang w:val="x-none" w:eastAsia="zh-CN"/>
              </w:rPr>
              <w:t xml:space="preserve"> = 0 or no more than 12 PRBs when configured with SCS </w:t>
            </w:r>
            <w:r w:rsidR="00853B5B" w:rsidRPr="00683C21">
              <w:rPr>
                <w:rFonts w:ascii="Symbol" w:hAnsi="Symbol"/>
                <w:sz w:val="22"/>
                <w:szCs w:val="22"/>
                <w:lang w:eastAsia="zh-CN"/>
              </w:rPr>
              <w:t></w:t>
            </w:r>
            <w:r w:rsidR="00853B5B" w:rsidRPr="00683C21">
              <w:rPr>
                <w:sz w:val="22"/>
                <w:szCs w:val="22"/>
                <w:lang w:eastAsia="zh-CN"/>
              </w:rPr>
              <w:t xml:space="preserve"> </w:t>
            </w:r>
            <w:r w:rsidRPr="00683C21">
              <w:rPr>
                <w:rFonts w:eastAsia="宋体"/>
                <w:color w:val="000000"/>
                <w:kern w:val="2"/>
                <w:sz w:val="22"/>
                <w:szCs w:val="22"/>
                <w:lang w:val="x-none" w:eastAsia="zh-CN"/>
              </w:rPr>
              <w:t xml:space="preserve"> = 1,</w:t>
            </w:r>
          </w:p>
          <w:p w14:paraId="3B675172" w14:textId="6D97FE38" w:rsidR="00C46F55" w:rsidRPr="002E5A77" w:rsidRDefault="002E5A77" w:rsidP="002E5A77">
            <w:pPr>
              <w:pStyle w:val="B1"/>
              <w:widowControl/>
              <w:rPr>
                <w:rFonts w:eastAsia="宋体"/>
                <w:color w:val="000000"/>
                <w:kern w:val="2"/>
                <w:lang w:val="x-none" w:eastAsia="zh-CN"/>
              </w:rPr>
            </w:pPr>
            <w:r w:rsidRPr="00683C21">
              <w:rPr>
                <w:rFonts w:eastAsia="宋体"/>
                <w:color w:val="000000"/>
                <w:kern w:val="2"/>
                <w:sz w:val="22"/>
                <w:szCs w:val="22"/>
                <w:lang w:val="x-none" w:eastAsia="zh-CN"/>
              </w:rPr>
              <w:t>-</w:t>
            </w:r>
            <w:r w:rsidRPr="00683C21">
              <w:rPr>
                <w:rFonts w:eastAsia="宋体"/>
                <w:color w:val="000000"/>
                <w:kern w:val="2"/>
                <w:sz w:val="22"/>
                <w:szCs w:val="22"/>
                <w:lang w:val="x-none" w:eastAsia="zh-CN"/>
              </w:rPr>
              <w:tab/>
              <w:t>otherwise, the UE may skip decoding one of the two PDSCHs.</w:t>
            </w:r>
          </w:p>
        </w:tc>
      </w:tr>
    </w:tbl>
    <w:p w14:paraId="231C376D" w14:textId="2E96A359" w:rsidR="006107C1" w:rsidRDefault="002E5A77" w:rsidP="00303E72">
      <w:pPr>
        <w:spacing w:beforeLines="50" w:before="120"/>
        <w:rPr>
          <w:lang w:eastAsia="zh-CN"/>
        </w:rPr>
      </w:pPr>
      <w:r>
        <w:rPr>
          <w:lang w:eastAsia="zh-CN"/>
        </w:rPr>
        <w:t xml:space="preserve">The above </w:t>
      </w:r>
      <w:r w:rsidR="00853B5B">
        <w:rPr>
          <w:lang w:eastAsia="zh-CN"/>
        </w:rPr>
        <w:t xml:space="preserve">specification described the FDMed case, while for TDMed case, it seems not clear for eRedCap. </w:t>
      </w:r>
      <w:r w:rsidR="005F14B1" w:rsidRPr="00737C81">
        <w:rPr>
          <w:lang w:eastAsia="zh-CN"/>
        </w:rPr>
        <w:t xml:space="preserve">In this contribution, we </w:t>
      </w:r>
      <w:r w:rsidR="00303E72" w:rsidRPr="00737C81">
        <w:rPr>
          <w:lang w:eastAsia="zh-CN"/>
        </w:rPr>
        <w:t xml:space="preserve">share views </w:t>
      </w:r>
      <w:r w:rsidR="00350340">
        <w:rPr>
          <w:rFonts w:hint="eastAsia"/>
          <w:lang w:eastAsia="zh-CN"/>
        </w:rPr>
        <w:t>on</w:t>
      </w:r>
      <w:r w:rsidR="005F14B1" w:rsidRPr="00737C81">
        <w:rPr>
          <w:lang w:eastAsia="zh-CN"/>
        </w:rPr>
        <w:t xml:space="preserve"> the</w:t>
      </w:r>
      <w:r w:rsidR="001270B0">
        <w:rPr>
          <w:lang w:eastAsia="zh-CN"/>
        </w:rPr>
        <w:t xml:space="preserve"> </w:t>
      </w:r>
      <w:r w:rsidR="00853B5B">
        <w:rPr>
          <w:lang w:eastAsia="zh-CN"/>
        </w:rPr>
        <w:t>TDMed case</w:t>
      </w:r>
      <w:r w:rsidR="00350340">
        <w:rPr>
          <w:lang w:eastAsia="zh-CN"/>
        </w:rPr>
        <w:t>.</w:t>
      </w:r>
    </w:p>
    <w:p w14:paraId="13BA6D65" w14:textId="60BC39DB" w:rsidR="007E3C73" w:rsidRPr="00853B5B" w:rsidRDefault="007E3C73" w:rsidP="00303E72">
      <w:pPr>
        <w:spacing w:beforeLines="50" w:before="120"/>
        <w:rPr>
          <w:lang w:eastAsia="zh-CN"/>
        </w:rPr>
      </w:pPr>
    </w:p>
    <w:p w14:paraId="1917ACB6" w14:textId="022C04C7" w:rsidR="00DE05B9" w:rsidRPr="00853B5B" w:rsidRDefault="002423A6" w:rsidP="00853B5B">
      <w:pPr>
        <w:pStyle w:val="1"/>
        <w:keepNext w:val="0"/>
      </w:pPr>
      <w:bookmarkStart w:id="1" w:name="OLE_LINK1"/>
      <w:bookmarkStart w:id="2" w:name="OLE_LINK2"/>
      <w:r>
        <w:t>Discussion</w:t>
      </w:r>
      <w:r w:rsidR="007C79EF" w:rsidRPr="00C81871">
        <w:rPr>
          <w:lang w:eastAsia="zh-CN"/>
        </w:rPr>
        <w:t xml:space="preserve"> </w:t>
      </w:r>
      <w:bookmarkStart w:id="3" w:name="OLE_LINK3"/>
      <w:bookmarkStart w:id="4" w:name="OLE_LINK4"/>
      <w:bookmarkEnd w:id="1"/>
      <w:bookmarkEnd w:id="2"/>
    </w:p>
    <w:p w14:paraId="7B1CB25F" w14:textId="2BE3F0D2" w:rsidR="00853B5B" w:rsidRDefault="00683C21" w:rsidP="00690D69">
      <w:pPr>
        <w:rPr>
          <w:rFonts w:eastAsia="宋体"/>
          <w:color w:val="000000"/>
          <w:kern w:val="2"/>
          <w:lang w:val="x-none" w:eastAsia="zh-CN"/>
        </w:rPr>
      </w:pPr>
      <w:r>
        <w:rPr>
          <w:lang w:eastAsia="zh-CN"/>
        </w:rPr>
        <w:t>F</w:t>
      </w:r>
      <w:r>
        <w:rPr>
          <w:lang w:eastAsia="zh-CN"/>
        </w:rPr>
        <w:t>or FDMed unicast and multicast/broadcast PDSCH reception</w:t>
      </w:r>
      <w:r>
        <w:rPr>
          <w:lang w:eastAsia="zh-CN"/>
        </w:rPr>
        <w:t>, b</w:t>
      </w:r>
      <w:r w:rsidR="00853B5B">
        <w:rPr>
          <w:lang w:eastAsia="zh-CN"/>
        </w:rPr>
        <w:t xml:space="preserve">ased on the current spec, </w:t>
      </w:r>
      <w:r w:rsidR="00853B5B" w:rsidRPr="002E5A77">
        <w:rPr>
          <w:rFonts w:eastAsia="宋体"/>
          <w:color w:val="000000"/>
          <w:kern w:val="2"/>
          <w:lang w:val="x-none" w:eastAsia="zh-CN"/>
        </w:rPr>
        <w:t>the UE</w:t>
      </w:r>
      <w:r w:rsidR="00853B5B">
        <w:rPr>
          <w:rFonts w:eastAsia="宋体"/>
          <w:color w:val="000000"/>
          <w:kern w:val="2"/>
          <w:lang w:val="x-none" w:eastAsia="zh-CN"/>
        </w:rPr>
        <w:t xml:space="preserve"> </w:t>
      </w:r>
      <w:r w:rsidR="00853B5B">
        <w:rPr>
          <w:lang w:eastAsia="zh-CN"/>
        </w:rPr>
        <w:t xml:space="preserve">can decode the two PDSCHs for the case illustrated in figure 1a, and the UE </w:t>
      </w:r>
      <w:r w:rsidR="00853B5B" w:rsidRPr="002E5A77">
        <w:rPr>
          <w:rFonts w:eastAsia="宋体"/>
          <w:color w:val="000000"/>
          <w:kern w:val="2"/>
          <w:lang w:val="x-none" w:eastAsia="zh-CN"/>
        </w:rPr>
        <w:t>may skip decoding one of the two PDSCHs</w:t>
      </w:r>
      <w:r w:rsidR="00853B5B">
        <w:rPr>
          <w:rFonts w:eastAsia="宋体"/>
          <w:color w:val="000000"/>
          <w:kern w:val="2"/>
          <w:lang w:val="x-none" w:eastAsia="zh-CN"/>
        </w:rPr>
        <w:t xml:space="preserve"> </w:t>
      </w:r>
      <w:r w:rsidR="00853B5B">
        <w:rPr>
          <w:lang w:eastAsia="zh-CN"/>
        </w:rPr>
        <w:t>for the case illustrated in figure 1b</w:t>
      </w:r>
      <w:r w:rsidR="00853B5B">
        <w:rPr>
          <w:rFonts w:eastAsia="宋体"/>
          <w:color w:val="000000"/>
          <w:kern w:val="2"/>
          <w:lang w:val="x-none" w:eastAsia="zh-CN"/>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4626"/>
      </w:tblGrid>
      <w:tr w:rsidR="00853B5B" w14:paraId="2517DCC8" w14:textId="77777777" w:rsidTr="00853B5B">
        <w:tc>
          <w:tcPr>
            <w:tcW w:w="4653" w:type="dxa"/>
          </w:tcPr>
          <w:p w14:paraId="678AB92F" w14:textId="0F11623E" w:rsidR="00853B5B" w:rsidRDefault="00853B5B" w:rsidP="00853B5B">
            <w:pPr>
              <w:jc w:val="center"/>
              <w:rPr>
                <w:lang w:val="x-none" w:eastAsia="zh-CN"/>
              </w:rPr>
            </w:pPr>
            <w:r>
              <w:rPr>
                <w:noProof/>
                <w:lang w:eastAsia="zh-CN"/>
              </w:rPr>
              <w:drawing>
                <wp:inline distT="0" distB="0" distL="0" distR="0" wp14:anchorId="28F292AE" wp14:editId="7725F0C0">
                  <wp:extent cx="2841955" cy="14376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26" t="6553" r="526" b="3278"/>
                          <a:stretch/>
                        </pic:blipFill>
                        <pic:spPr bwMode="auto">
                          <a:xfrm>
                            <a:off x="0" y="0"/>
                            <a:ext cx="2909542" cy="1471859"/>
                          </a:xfrm>
                          <a:prstGeom prst="rect">
                            <a:avLst/>
                          </a:prstGeom>
                          <a:ln>
                            <a:noFill/>
                          </a:ln>
                          <a:extLst>
                            <a:ext uri="{53640926-AAD7-44D8-BBD7-CCE9431645EC}">
                              <a14:shadowObscured xmlns:a14="http://schemas.microsoft.com/office/drawing/2010/main"/>
                            </a:ext>
                          </a:extLst>
                        </pic:spPr>
                      </pic:pic>
                    </a:graphicData>
                  </a:graphic>
                </wp:inline>
              </w:drawing>
            </w:r>
          </w:p>
        </w:tc>
        <w:tc>
          <w:tcPr>
            <w:tcW w:w="4654" w:type="dxa"/>
          </w:tcPr>
          <w:p w14:paraId="4FEF297F" w14:textId="15204D57" w:rsidR="00853B5B" w:rsidRDefault="00853B5B" w:rsidP="009E6EB0">
            <w:pPr>
              <w:jc w:val="center"/>
              <w:rPr>
                <w:lang w:val="x-none" w:eastAsia="zh-CN"/>
              </w:rPr>
            </w:pPr>
            <w:r>
              <w:rPr>
                <w:noProof/>
                <w:lang w:eastAsia="zh-CN"/>
              </w:rPr>
              <w:drawing>
                <wp:inline distT="0" distB="0" distL="0" distR="0" wp14:anchorId="1343BB08" wp14:editId="3A34CF30">
                  <wp:extent cx="2607699" cy="144824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3393"/>
                          <a:stretch/>
                        </pic:blipFill>
                        <pic:spPr bwMode="auto">
                          <a:xfrm>
                            <a:off x="0" y="0"/>
                            <a:ext cx="2687857" cy="1492758"/>
                          </a:xfrm>
                          <a:prstGeom prst="rect">
                            <a:avLst/>
                          </a:prstGeom>
                          <a:ln>
                            <a:noFill/>
                          </a:ln>
                          <a:extLst>
                            <a:ext uri="{53640926-AAD7-44D8-BBD7-CCE9431645EC}">
                              <a14:shadowObscured xmlns:a14="http://schemas.microsoft.com/office/drawing/2010/main"/>
                            </a:ext>
                          </a:extLst>
                        </pic:spPr>
                      </pic:pic>
                    </a:graphicData>
                  </a:graphic>
                </wp:inline>
              </w:drawing>
            </w:r>
          </w:p>
        </w:tc>
      </w:tr>
      <w:tr w:rsidR="00853B5B" w14:paraId="1AE4997E" w14:textId="77777777" w:rsidTr="00853B5B">
        <w:tc>
          <w:tcPr>
            <w:tcW w:w="4653" w:type="dxa"/>
          </w:tcPr>
          <w:p w14:paraId="1F7DB0DC" w14:textId="37370117" w:rsidR="00853B5B" w:rsidRDefault="00853B5B" w:rsidP="00853B5B">
            <w:pPr>
              <w:jc w:val="center"/>
              <w:rPr>
                <w:lang w:val="x-none" w:eastAsia="zh-CN"/>
              </w:rPr>
            </w:pPr>
            <w:r>
              <w:rPr>
                <w:lang w:eastAsia="zh-CN"/>
              </w:rPr>
              <w:t>1a</w:t>
            </w:r>
          </w:p>
        </w:tc>
        <w:tc>
          <w:tcPr>
            <w:tcW w:w="4654" w:type="dxa"/>
          </w:tcPr>
          <w:p w14:paraId="33F6B759" w14:textId="5431999C" w:rsidR="00853B5B" w:rsidRDefault="00853B5B" w:rsidP="00853B5B">
            <w:pPr>
              <w:jc w:val="center"/>
              <w:rPr>
                <w:lang w:val="x-none" w:eastAsia="zh-CN"/>
              </w:rPr>
            </w:pPr>
            <w:r>
              <w:rPr>
                <w:lang w:eastAsia="zh-CN"/>
              </w:rPr>
              <w:t>1b</w:t>
            </w:r>
          </w:p>
        </w:tc>
      </w:tr>
    </w:tbl>
    <w:p w14:paraId="4791C722" w14:textId="304D1F9A" w:rsidR="00853B5B" w:rsidRPr="009E6EB0" w:rsidRDefault="009E6EB0" w:rsidP="009E6EB0">
      <w:pPr>
        <w:jc w:val="center"/>
        <w:rPr>
          <w:b/>
          <w:sz w:val="21"/>
          <w:lang w:val="x-none" w:eastAsia="zh-CN"/>
        </w:rPr>
      </w:pPr>
      <w:r w:rsidRPr="009E6EB0">
        <w:rPr>
          <w:b/>
          <w:sz w:val="21"/>
          <w:lang w:val="x-none" w:eastAsia="zh-CN"/>
        </w:rPr>
        <w:t xml:space="preserve">Figure 1: </w:t>
      </w:r>
      <w:r w:rsidRPr="009E6EB0">
        <w:rPr>
          <w:b/>
          <w:sz w:val="21"/>
          <w:lang w:eastAsia="zh-CN"/>
        </w:rPr>
        <w:t>FDMed unicast and multicast/broadcast PDSCH reception</w:t>
      </w:r>
    </w:p>
    <w:p w14:paraId="20BADAE2" w14:textId="11F80C94" w:rsidR="00853B5B" w:rsidRDefault="009E6EB0" w:rsidP="00690D69">
      <w:pPr>
        <w:rPr>
          <w:rFonts w:eastAsia="宋体"/>
          <w:color w:val="000000"/>
          <w:kern w:val="2"/>
          <w:lang w:val="x-none" w:eastAsia="zh-CN"/>
        </w:rPr>
      </w:pPr>
      <w:r>
        <w:rPr>
          <w:lang w:eastAsia="zh-CN"/>
        </w:rPr>
        <w:t xml:space="preserve">While for TDMed cases, it seems unclear whether the eRedCap needs to </w:t>
      </w:r>
      <w:r w:rsidRPr="002E5A77">
        <w:rPr>
          <w:rFonts w:eastAsia="宋体"/>
          <w:color w:val="000000"/>
          <w:kern w:val="2"/>
          <w:lang w:val="x-none" w:eastAsia="zh-CN"/>
        </w:rPr>
        <w:t>decoding one</w:t>
      </w:r>
      <w:r>
        <w:rPr>
          <w:rFonts w:eastAsia="宋体"/>
          <w:color w:val="000000"/>
          <w:kern w:val="2"/>
          <w:lang w:val="x-none" w:eastAsia="zh-CN"/>
        </w:rPr>
        <w:t xml:space="preserve"> or two PDSCH, e.g.,</w:t>
      </w:r>
    </w:p>
    <w:p w14:paraId="2F18A011" w14:textId="0C400BD5" w:rsidR="00DD5AE2" w:rsidRPr="009E6EB0" w:rsidRDefault="009E6EB0" w:rsidP="00DD5AE2">
      <w:pPr>
        <w:pStyle w:val="af2"/>
        <w:numPr>
          <w:ilvl w:val="0"/>
          <w:numId w:val="32"/>
        </w:numPr>
        <w:ind w:firstLineChars="0"/>
        <w:rPr>
          <w:lang w:eastAsia="zh-CN"/>
        </w:rPr>
      </w:pPr>
      <w:r>
        <w:rPr>
          <w:lang w:eastAsia="zh-CN"/>
        </w:rPr>
        <w:t>TDMed case 1:</w:t>
      </w:r>
      <w:r w:rsidRPr="009E6EB0">
        <w:t xml:space="preserve"> </w:t>
      </w:r>
      <w:r>
        <w:t xml:space="preserve">as </w:t>
      </w:r>
      <w:r>
        <w:rPr>
          <w:lang w:eastAsia="zh-CN"/>
        </w:rPr>
        <w:t xml:space="preserve">illustrated in figure 2a, the two PDSCHs partially or fully overlapping in </w:t>
      </w:r>
      <w:r w:rsidR="00DD5AE2">
        <w:rPr>
          <w:lang w:eastAsia="zh-CN"/>
        </w:rPr>
        <w:t>PRBs in non-overlapping symbol</w:t>
      </w:r>
      <w:r>
        <w:rPr>
          <w:lang w:eastAsia="zh-CN"/>
        </w:rPr>
        <w:t>s,</w:t>
      </w:r>
      <w:r w:rsidR="00DD5AE2" w:rsidRPr="00DD5AE2">
        <w:rPr>
          <w:lang w:eastAsia="zh-CN"/>
        </w:rPr>
        <w:t xml:space="preserve"> </w:t>
      </w:r>
      <w:r w:rsidR="00DD5AE2">
        <w:rPr>
          <w:lang w:eastAsia="zh-CN"/>
        </w:rPr>
        <w:t xml:space="preserve">and the number of PRBs allocated for multicast/broadcast PDSCH is </w:t>
      </w:r>
      <w:r w:rsidR="00DD5AE2" w:rsidRPr="00DD5AE2">
        <w:rPr>
          <w:b/>
          <w:lang w:eastAsia="zh-CN"/>
        </w:rPr>
        <w:t>no more than</w:t>
      </w:r>
      <w:r w:rsidR="00DD5AE2">
        <w:rPr>
          <w:lang w:eastAsia="zh-CN"/>
        </w:rPr>
        <w:t xml:space="preserve"> 25 PRBs when configured with SCS  </w:t>
      </w:r>
      <w:r w:rsidR="00DD5AE2">
        <w:rPr>
          <w:rFonts w:ascii="Symbol" w:hAnsi="Symbol"/>
          <w:lang w:eastAsia="zh-CN"/>
        </w:rPr>
        <w:t></w:t>
      </w:r>
      <w:r w:rsidR="00DD5AE2">
        <w:rPr>
          <w:lang w:eastAsia="zh-CN"/>
        </w:rPr>
        <w:t xml:space="preserve">= 0 or no more than 12 PRBs when configured with SCS </w:t>
      </w:r>
      <w:r w:rsidR="00DD5AE2">
        <w:rPr>
          <w:rFonts w:ascii="Symbol" w:hAnsi="Symbol"/>
          <w:lang w:eastAsia="zh-CN"/>
        </w:rPr>
        <w:t></w:t>
      </w:r>
      <w:r w:rsidR="00DD5AE2">
        <w:rPr>
          <w:lang w:eastAsia="zh-CN"/>
        </w:rPr>
        <w:t>= 1.</w:t>
      </w:r>
    </w:p>
    <w:p w14:paraId="7068FFA8" w14:textId="3C17F045" w:rsidR="009E6EB0" w:rsidRDefault="009E6EB0" w:rsidP="00DD5AE2">
      <w:pPr>
        <w:pStyle w:val="af2"/>
        <w:numPr>
          <w:ilvl w:val="0"/>
          <w:numId w:val="32"/>
        </w:numPr>
        <w:ind w:firstLineChars="0"/>
        <w:rPr>
          <w:lang w:eastAsia="zh-CN"/>
        </w:rPr>
      </w:pPr>
      <w:r>
        <w:rPr>
          <w:lang w:eastAsia="zh-CN"/>
        </w:rPr>
        <w:t>TDMed case 2:</w:t>
      </w:r>
      <w:r w:rsidRPr="009E6EB0">
        <w:rPr>
          <w:lang w:eastAsia="zh-CN"/>
        </w:rPr>
        <w:t xml:space="preserve"> </w:t>
      </w:r>
      <w:r>
        <w:rPr>
          <w:lang w:eastAsia="zh-CN"/>
        </w:rPr>
        <w:t xml:space="preserve">as illustrated in figure 2b, the two PDSCHs partially or fully overlapping in </w:t>
      </w:r>
      <w:r w:rsidR="00DD5AE2">
        <w:rPr>
          <w:lang w:eastAsia="zh-CN"/>
        </w:rPr>
        <w:t>PRBs</w:t>
      </w:r>
      <w:r>
        <w:rPr>
          <w:lang w:eastAsia="zh-CN"/>
        </w:rPr>
        <w:t xml:space="preserve"> in non-overlapping </w:t>
      </w:r>
      <w:r w:rsidR="00DD5AE2">
        <w:rPr>
          <w:lang w:eastAsia="zh-CN"/>
        </w:rPr>
        <w:t>symbols</w:t>
      </w:r>
      <w:r>
        <w:rPr>
          <w:lang w:eastAsia="zh-CN"/>
        </w:rPr>
        <w:t>,</w:t>
      </w:r>
      <w:r w:rsidR="00DD5AE2">
        <w:rPr>
          <w:lang w:eastAsia="zh-CN"/>
        </w:rPr>
        <w:t xml:space="preserve"> a</w:t>
      </w:r>
      <w:r w:rsidR="00DD5AE2" w:rsidRPr="00DD5AE2">
        <w:rPr>
          <w:lang w:eastAsia="zh-CN"/>
        </w:rPr>
        <w:t xml:space="preserve"> </w:t>
      </w:r>
      <w:r w:rsidR="00DD5AE2">
        <w:rPr>
          <w:lang w:eastAsia="zh-CN"/>
        </w:rPr>
        <w:t xml:space="preserve">and the number of PRBs allocated for multicast/broadcast PDSCH is </w:t>
      </w:r>
      <w:r w:rsidR="00DD5AE2">
        <w:rPr>
          <w:b/>
          <w:lang w:eastAsia="zh-CN"/>
        </w:rPr>
        <w:t>larger</w:t>
      </w:r>
      <w:r w:rsidR="00DD5AE2" w:rsidRPr="00DD5AE2">
        <w:rPr>
          <w:b/>
          <w:lang w:eastAsia="zh-CN"/>
        </w:rPr>
        <w:t xml:space="preserve"> than</w:t>
      </w:r>
      <w:r w:rsidR="00DD5AE2">
        <w:rPr>
          <w:lang w:eastAsia="zh-CN"/>
        </w:rPr>
        <w:t xml:space="preserve"> 25 PRBs when configured with SCS  </w:t>
      </w:r>
      <w:r w:rsidR="00DD5AE2">
        <w:rPr>
          <w:rFonts w:ascii="Symbol" w:hAnsi="Symbol"/>
          <w:lang w:eastAsia="zh-CN"/>
        </w:rPr>
        <w:t></w:t>
      </w:r>
      <w:r w:rsidR="00DD5AE2">
        <w:rPr>
          <w:lang w:eastAsia="zh-CN"/>
        </w:rPr>
        <w:t xml:space="preserve">= 0 or no more than 12 PRBs when configured with SCS </w:t>
      </w:r>
      <w:r w:rsidR="00DD5AE2">
        <w:rPr>
          <w:rFonts w:ascii="Symbol" w:hAnsi="Symbol"/>
          <w:lang w:eastAsia="zh-CN"/>
        </w:rPr>
        <w:t></w:t>
      </w:r>
      <w:r w:rsidR="00DD5AE2">
        <w:rPr>
          <w:lang w:eastAsia="zh-CN"/>
        </w:rPr>
        <w:t>= 1.</w:t>
      </w:r>
      <w:bookmarkStart w:id="5" w:name="_GoBack"/>
      <w:bookmarkEnd w:id="5"/>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E6EB0" w14:paraId="03C2DD12" w14:textId="77777777" w:rsidTr="00076296">
        <w:tc>
          <w:tcPr>
            <w:tcW w:w="4653" w:type="dxa"/>
          </w:tcPr>
          <w:p w14:paraId="0A7D1AE8" w14:textId="6E88B952" w:rsidR="009E6EB0" w:rsidRDefault="00DD5AE2" w:rsidP="00076296">
            <w:pPr>
              <w:jc w:val="center"/>
              <w:rPr>
                <w:lang w:val="x-none" w:eastAsia="zh-CN"/>
              </w:rPr>
            </w:pPr>
            <w:r w:rsidRPr="00DD5AE2">
              <w:rPr>
                <w:noProof/>
                <w:lang w:eastAsia="zh-CN"/>
              </w:rPr>
              <w:lastRenderedPageBreak/>
              <w:drawing>
                <wp:inline distT="0" distB="0" distL="0" distR="0" wp14:anchorId="0E3A6991" wp14:editId="3D2F102B">
                  <wp:extent cx="2473637" cy="1306499"/>
                  <wp:effectExtent l="0" t="0" r="3175" b="8255"/>
                  <wp:docPr id="7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pic:cNvPicPr>
                            <a:picLocks noChangeAspect="1"/>
                          </pic:cNvPicPr>
                        </pic:nvPicPr>
                        <pic:blipFill>
                          <a:blip r:embed="rId13"/>
                          <a:stretch>
                            <a:fillRect/>
                          </a:stretch>
                        </pic:blipFill>
                        <pic:spPr>
                          <a:xfrm>
                            <a:off x="0" y="0"/>
                            <a:ext cx="2490115" cy="1315202"/>
                          </a:xfrm>
                          <a:prstGeom prst="rect">
                            <a:avLst/>
                          </a:prstGeom>
                        </pic:spPr>
                      </pic:pic>
                    </a:graphicData>
                  </a:graphic>
                </wp:inline>
              </w:drawing>
            </w:r>
          </w:p>
        </w:tc>
        <w:tc>
          <w:tcPr>
            <w:tcW w:w="4654" w:type="dxa"/>
          </w:tcPr>
          <w:p w14:paraId="7C7DDE37" w14:textId="34214927" w:rsidR="009E6EB0" w:rsidRDefault="00DD5AE2" w:rsidP="009E6EB0">
            <w:pPr>
              <w:jc w:val="center"/>
              <w:rPr>
                <w:lang w:val="x-none" w:eastAsia="zh-CN"/>
              </w:rPr>
            </w:pPr>
            <w:r w:rsidRPr="00DD5AE2">
              <w:rPr>
                <w:noProof/>
                <w:lang w:eastAsia="zh-CN"/>
              </w:rPr>
              <w:drawing>
                <wp:inline distT="0" distB="0" distL="0" distR="0" wp14:anchorId="7C0035A8" wp14:editId="60F772F8">
                  <wp:extent cx="2130076" cy="1290372"/>
                  <wp:effectExtent l="0" t="0" r="3810" b="5080"/>
                  <wp:docPr id="95"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4"/>
                          <pic:cNvPicPr>
                            <a:picLocks noChangeAspect="1"/>
                          </pic:cNvPicPr>
                        </pic:nvPicPr>
                        <pic:blipFill>
                          <a:blip r:embed="rId14"/>
                          <a:stretch>
                            <a:fillRect/>
                          </a:stretch>
                        </pic:blipFill>
                        <pic:spPr>
                          <a:xfrm>
                            <a:off x="0" y="0"/>
                            <a:ext cx="2140634" cy="1296768"/>
                          </a:xfrm>
                          <a:prstGeom prst="rect">
                            <a:avLst/>
                          </a:prstGeom>
                        </pic:spPr>
                      </pic:pic>
                    </a:graphicData>
                  </a:graphic>
                </wp:inline>
              </w:drawing>
            </w:r>
          </w:p>
        </w:tc>
      </w:tr>
      <w:tr w:rsidR="009E6EB0" w14:paraId="38ABA542" w14:textId="77777777" w:rsidTr="00076296">
        <w:tc>
          <w:tcPr>
            <w:tcW w:w="4653" w:type="dxa"/>
          </w:tcPr>
          <w:p w14:paraId="65A79D08" w14:textId="01224956" w:rsidR="009E6EB0" w:rsidRDefault="009074A8" w:rsidP="00076296">
            <w:pPr>
              <w:jc w:val="center"/>
              <w:rPr>
                <w:lang w:val="x-none" w:eastAsia="zh-CN"/>
              </w:rPr>
            </w:pPr>
            <w:r>
              <w:rPr>
                <w:lang w:eastAsia="zh-CN"/>
              </w:rPr>
              <w:t>2</w:t>
            </w:r>
            <w:r w:rsidR="009E6EB0">
              <w:rPr>
                <w:lang w:eastAsia="zh-CN"/>
              </w:rPr>
              <w:t>a</w:t>
            </w:r>
          </w:p>
        </w:tc>
        <w:tc>
          <w:tcPr>
            <w:tcW w:w="4654" w:type="dxa"/>
          </w:tcPr>
          <w:p w14:paraId="6A401D29" w14:textId="6C7F3CE2" w:rsidR="009E6EB0" w:rsidRDefault="009074A8" w:rsidP="00076296">
            <w:pPr>
              <w:jc w:val="center"/>
              <w:rPr>
                <w:lang w:val="x-none" w:eastAsia="zh-CN"/>
              </w:rPr>
            </w:pPr>
            <w:r>
              <w:rPr>
                <w:lang w:eastAsia="zh-CN"/>
              </w:rPr>
              <w:t>2</w:t>
            </w:r>
            <w:r w:rsidR="009E6EB0">
              <w:rPr>
                <w:lang w:eastAsia="zh-CN"/>
              </w:rPr>
              <w:t>b</w:t>
            </w:r>
          </w:p>
        </w:tc>
      </w:tr>
    </w:tbl>
    <w:p w14:paraId="2BEF9604" w14:textId="28B049B7" w:rsidR="009E6EB0" w:rsidRPr="009E6EB0" w:rsidRDefault="009E6EB0" w:rsidP="009E6EB0">
      <w:pPr>
        <w:jc w:val="center"/>
        <w:rPr>
          <w:b/>
          <w:sz w:val="21"/>
          <w:lang w:val="x-none" w:eastAsia="zh-CN"/>
        </w:rPr>
      </w:pPr>
      <w:r w:rsidRPr="009E6EB0">
        <w:rPr>
          <w:b/>
          <w:sz w:val="21"/>
          <w:lang w:val="x-none" w:eastAsia="zh-CN"/>
        </w:rPr>
        <w:t xml:space="preserve">Figure </w:t>
      </w:r>
      <w:r w:rsidR="009074A8">
        <w:rPr>
          <w:b/>
          <w:sz w:val="21"/>
          <w:lang w:val="x-none" w:eastAsia="zh-CN"/>
        </w:rPr>
        <w:t>2</w:t>
      </w:r>
      <w:r w:rsidRPr="009E6EB0">
        <w:rPr>
          <w:b/>
          <w:sz w:val="21"/>
          <w:lang w:val="x-none" w:eastAsia="zh-CN"/>
        </w:rPr>
        <w:t xml:space="preserve">: </w:t>
      </w:r>
      <w:r>
        <w:rPr>
          <w:b/>
          <w:sz w:val="21"/>
          <w:lang w:eastAsia="zh-CN"/>
        </w:rPr>
        <w:t>TD</w:t>
      </w:r>
      <w:r w:rsidRPr="009E6EB0">
        <w:rPr>
          <w:b/>
          <w:sz w:val="21"/>
          <w:lang w:eastAsia="zh-CN"/>
        </w:rPr>
        <w:t>Med unicast and multicast/broadcast PDSCH reception</w:t>
      </w:r>
    </w:p>
    <w:p w14:paraId="057B1A2D" w14:textId="60CA39CA" w:rsidR="00EA005C" w:rsidRDefault="009074A8" w:rsidP="00EA005C">
      <w:pPr>
        <w:rPr>
          <w:lang w:eastAsia="zh-CN"/>
        </w:rPr>
      </w:pPr>
      <w:r>
        <w:rPr>
          <w:lang w:val="x-none" w:eastAsia="zh-CN"/>
        </w:rPr>
        <w:t xml:space="preserve">For </w:t>
      </w:r>
      <w:r w:rsidR="00EA005C">
        <w:rPr>
          <w:lang w:eastAsia="zh-CN"/>
        </w:rPr>
        <w:t>TDMed case 1 (figure 2a):</w:t>
      </w:r>
      <w:r w:rsidR="00EA005C">
        <w:rPr>
          <w:rFonts w:hint="eastAsia"/>
          <w:lang w:eastAsia="zh-CN"/>
        </w:rPr>
        <w:t xml:space="preserve"> </w:t>
      </w:r>
      <w:r w:rsidR="00EA005C">
        <w:rPr>
          <w:lang w:eastAsia="zh-CN"/>
        </w:rPr>
        <w:t xml:space="preserve">if eRedCap UE is capable of receiving TDMed unicast and multicast/broadcast PDSCH per slot (i.e., Corresponding to the capability/feature </w:t>
      </w:r>
      <w:r w:rsidR="00EA005C" w:rsidRPr="00EA005C">
        <w:rPr>
          <w:i/>
          <w:lang w:eastAsia="zh-CN"/>
        </w:rPr>
        <w:t>intraSlotTDM-UnicastGroupCommonPDSCH-r17</w:t>
      </w:r>
      <w:r w:rsidR="006D337F">
        <w:rPr>
          <w:i/>
          <w:lang w:eastAsia="zh-CN"/>
        </w:rPr>
        <w:t xml:space="preserve"> [2]</w:t>
      </w:r>
      <w:r w:rsidR="00EA005C">
        <w:rPr>
          <w:lang w:eastAsia="zh-CN"/>
        </w:rPr>
        <w:t xml:space="preserve">, copied in appendix), </w:t>
      </w:r>
      <w:r w:rsidR="00EA005C" w:rsidRPr="002E5A77">
        <w:rPr>
          <w:rFonts w:eastAsia="宋体"/>
          <w:color w:val="000000"/>
          <w:kern w:val="2"/>
          <w:lang w:val="x-none" w:eastAsia="zh-CN"/>
        </w:rPr>
        <w:t>the UE</w:t>
      </w:r>
      <w:r w:rsidR="00EA005C">
        <w:rPr>
          <w:rFonts w:eastAsia="宋体"/>
          <w:color w:val="000000"/>
          <w:kern w:val="2"/>
          <w:lang w:val="x-none" w:eastAsia="zh-CN"/>
        </w:rPr>
        <w:t xml:space="preserve"> </w:t>
      </w:r>
      <w:r w:rsidR="00EA005C">
        <w:rPr>
          <w:lang w:eastAsia="zh-CN"/>
        </w:rPr>
        <w:t>can decode the two PDSCHs.</w:t>
      </w:r>
    </w:p>
    <w:p w14:paraId="1471B958" w14:textId="42A90D34" w:rsidR="00EA005C" w:rsidRDefault="00EA005C" w:rsidP="00853B5B">
      <w:pPr>
        <w:rPr>
          <w:lang w:eastAsia="zh-CN"/>
        </w:rPr>
      </w:pPr>
      <w:r>
        <w:rPr>
          <w:lang w:eastAsia="zh-CN"/>
        </w:rPr>
        <w:t xml:space="preserve">For TDMed case 2 (figure 2b): </w:t>
      </w:r>
      <w:r w:rsidR="006D337F">
        <w:rPr>
          <w:lang w:eastAsia="zh-CN"/>
        </w:rPr>
        <w:t xml:space="preserve">according to eRedCap’s capability and the handling method for FDMed cases, it is not reasonable to process both PDSCH here. Similar method can be adopted, i.e., </w:t>
      </w:r>
      <w:r w:rsidR="006D337F" w:rsidRPr="002E5A77">
        <w:rPr>
          <w:rFonts w:eastAsia="宋体"/>
          <w:color w:val="000000"/>
          <w:kern w:val="2"/>
          <w:lang w:val="x-none" w:eastAsia="zh-CN"/>
        </w:rPr>
        <w:t>the UE may skip decoding one of the two PDSCHs.</w:t>
      </w:r>
    </w:p>
    <w:p w14:paraId="570AC895" w14:textId="6F0A215A" w:rsidR="00EA005C" w:rsidRDefault="006D337F" w:rsidP="00853B5B">
      <w:pPr>
        <w:rPr>
          <w:lang w:eastAsia="zh-CN"/>
        </w:rPr>
      </w:pPr>
      <w:r>
        <w:rPr>
          <w:lang w:eastAsia="zh-CN"/>
        </w:rPr>
        <w:t>In summary, for eRedCap, the TDMed unicast and multicast/broadcast PDSCH reception is unclear, RAN1 should discuss the cases and conclude possible UE behaviors for TDMed cases.</w:t>
      </w:r>
    </w:p>
    <w:p w14:paraId="2BB6982F" w14:textId="0AB75065" w:rsidR="006D337F" w:rsidRPr="006D337F" w:rsidRDefault="006D337F" w:rsidP="00853B5B">
      <w:pPr>
        <w:rPr>
          <w:b/>
          <w:i/>
          <w:lang w:eastAsia="zh-CN"/>
        </w:rPr>
      </w:pPr>
      <w:r w:rsidRPr="006D337F">
        <w:rPr>
          <w:b/>
          <w:i/>
          <w:lang w:eastAsia="zh-CN"/>
        </w:rPr>
        <w:t>Proposal</w:t>
      </w:r>
      <w:r>
        <w:rPr>
          <w:b/>
          <w:i/>
          <w:lang w:eastAsia="zh-CN"/>
        </w:rPr>
        <w:t xml:space="preserve"> 1</w:t>
      </w:r>
      <w:r w:rsidRPr="006D337F">
        <w:rPr>
          <w:rFonts w:hint="eastAsia"/>
          <w:b/>
          <w:i/>
          <w:lang w:eastAsia="zh-CN"/>
        </w:rPr>
        <w:t>:</w:t>
      </w:r>
      <w:r w:rsidRPr="006D337F">
        <w:rPr>
          <w:b/>
          <w:i/>
          <w:lang w:eastAsia="zh-CN"/>
        </w:rPr>
        <w:t xml:space="preserve"> RAN1 discuss the TDMed unicast and multicast/broadcast PDSCH reception case</w:t>
      </w:r>
      <w:r>
        <w:rPr>
          <w:b/>
          <w:i/>
          <w:lang w:eastAsia="zh-CN"/>
        </w:rPr>
        <w:t>s</w:t>
      </w:r>
      <w:r w:rsidRPr="006D337F">
        <w:rPr>
          <w:b/>
          <w:i/>
          <w:lang w:eastAsia="zh-CN"/>
        </w:rPr>
        <w:t xml:space="preserve"> and </w:t>
      </w:r>
      <w:r w:rsidR="00A921BE">
        <w:rPr>
          <w:b/>
          <w:i/>
          <w:lang w:eastAsia="zh-CN"/>
        </w:rPr>
        <w:t>clarify</w:t>
      </w:r>
      <w:r w:rsidRPr="006D337F">
        <w:rPr>
          <w:b/>
          <w:i/>
          <w:lang w:eastAsia="zh-CN"/>
        </w:rPr>
        <w:t xml:space="preserve"> UE behaviors for those cases.</w:t>
      </w:r>
    </w:p>
    <w:p w14:paraId="1DAB833F" w14:textId="77777777" w:rsidR="00F518F8" w:rsidRPr="00C760E4" w:rsidRDefault="00F518F8" w:rsidP="00F518F8">
      <w:pPr>
        <w:pStyle w:val="af2"/>
        <w:tabs>
          <w:tab w:val="left" w:pos="1099"/>
        </w:tabs>
        <w:spacing w:beforeLines="50" w:before="120"/>
        <w:ind w:left="897" w:firstLineChars="0" w:firstLine="0"/>
        <w:rPr>
          <w:rFonts w:eastAsia="宋体"/>
          <w:highlight w:val="yellow"/>
          <w:lang w:eastAsia="zh-CN"/>
        </w:rPr>
      </w:pPr>
    </w:p>
    <w:p w14:paraId="4497D82C" w14:textId="11A8A18A" w:rsidR="00F87CBE" w:rsidRPr="00737C81" w:rsidRDefault="00F87CBE" w:rsidP="00F518F8">
      <w:pPr>
        <w:pStyle w:val="1"/>
        <w:keepNext w:val="0"/>
      </w:pPr>
      <w:bookmarkStart w:id="6" w:name="_Ref494215420"/>
      <w:bookmarkStart w:id="7" w:name="_Ref502921678"/>
      <w:bookmarkStart w:id="8" w:name="_Ref502921460"/>
      <w:bookmarkEnd w:id="3"/>
      <w:bookmarkEnd w:id="4"/>
      <w:r w:rsidRPr="00737C81">
        <w:t>Conclusion</w:t>
      </w:r>
    </w:p>
    <w:p w14:paraId="00E6C951" w14:textId="61383A0F"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w:t>
      </w:r>
      <w:r w:rsidR="007C0575">
        <w:rPr>
          <w:lang w:eastAsia="zh-CN"/>
        </w:rPr>
        <w:t>proposal</w:t>
      </w:r>
      <w:r w:rsidRPr="00737C81">
        <w:rPr>
          <w:lang w:eastAsia="zh-CN"/>
        </w:rPr>
        <w:t>:</w:t>
      </w:r>
    </w:p>
    <w:p w14:paraId="410A8495" w14:textId="11A7DE72" w:rsidR="006D337F" w:rsidRPr="006D337F" w:rsidRDefault="006D337F" w:rsidP="006D337F">
      <w:pPr>
        <w:pStyle w:val="af2"/>
        <w:numPr>
          <w:ilvl w:val="0"/>
          <w:numId w:val="27"/>
        </w:numPr>
        <w:ind w:firstLineChars="0"/>
        <w:rPr>
          <w:b/>
          <w:i/>
          <w:lang w:eastAsia="zh-CN"/>
        </w:rPr>
      </w:pPr>
      <w:r w:rsidRPr="006D337F">
        <w:rPr>
          <w:b/>
          <w:i/>
          <w:lang w:eastAsia="zh-CN"/>
        </w:rPr>
        <w:t>Proposal 1</w:t>
      </w:r>
      <w:r w:rsidRPr="006D337F">
        <w:rPr>
          <w:rFonts w:hint="eastAsia"/>
          <w:b/>
          <w:i/>
          <w:lang w:eastAsia="zh-CN"/>
        </w:rPr>
        <w:t>:</w:t>
      </w:r>
      <w:r w:rsidRPr="006D337F">
        <w:rPr>
          <w:b/>
          <w:i/>
          <w:lang w:eastAsia="zh-CN"/>
        </w:rPr>
        <w:t xml:space="preserve"> RAN1 discuss the TDMed unicast and multicast/broadcast PDSCH reception case</w:t>
      </w:r>
      <w:r>
        <w:rPr>
          <w:b/>
          <w:i/>
          <w:lang w:eastAsia="zh-CN"/>
        </w:rPr>
        <w:t>s</w:t>
      </w:r>
      <w:r w:rsidRPr="006D337F">
        <w:rPr>
          <w:b/>
          <w:i/>
          <w:lang w:eastAsia="zh-CN"/>
        </w:rPr>
        <w:t xml:space="preserve"> and </w:t>
      </w:r>
      <w:r w:rsidR="00A921BE">
        <w:rPr>
          <w:b/>
          <w:i/>
          <w:lang w:eastAsia="zh-CN"/>
        </w:rPr>
        <w:t>clarify</w:t>
      </w:r>
      <w:r w:rsidRPr="006D337F">
        <w:rPr>
          <w:b/>
          <w:i/>
          <w:lang w:eastAsia="zh-CN"/>
        </w:rPr>
        <w:t xml:space="preserve"> UE behaviors for those cases.</w:t>
      </w:r>
    </w:p>
    <w:p w14:paraId="3ECC0D12" w14:textId="336052EE" w:rsidR="00350340" w:rsidRDefault="00350340" w:rsidP="000F32B5">
      <w:pPr>
        <w:autoSpaceDE/>
        <w:autoSpaceDN/>
        <w:adjustRightInd/>
        <w:snapToGrid/>
        <w:spacing w:after="0"/>
        <w:jc w:val="left"/>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6"/>
    <w:bookmarkEnd w:id="7"/>
    <w:bookmarkEnd w:id="8"/>
    <w:p w14:paraId="77B83A08" w14:textId="7780F845" w:rsidR="002423A6" w:rsidRPr="005C6AE2" w:rsidRDefault="006D337F" w:rsidP="003C351C">
      <w:pPr>
        <w:pStyle w:val="af2"/>
        <w:numPr>
          <w:ilvl w:val="0"/>
          <w:numId w:val="6"/>
        </w:numPr>
        <w:ind w:firstLineChars="0"/>
        <w:rPr>
          <w:lang w:eastAsia="zh-CN"/>
        </w:rPr>
      </w:pPr>
      <w:r w:rsidRPr="006D337F">
        <w:rPr>
          <w:lang w:eastAsia="zh-CN"/>
        </w:rPr>
        <w:t>3GPP TS 38.214</w:t>
      </w:r>
      <w:r>
        <w:rPr>
          <w:lang w:eastAsia="zh-CN"/>
        </w:rPr>
        <w:t>, Physical layer procedures for data (Release 18)</w:t>
      </w:r>
      <w:r w:rsidRPr="006D337F">
        <w:rPr>
          <w:lang w:eastAsia="zh-CN"/>
        </w:rPr>
        <w:t xml:space="preserve"> V18.1.0</w:t>
      </w:r>
      <w:r w:rsidR="002423A6" w:rsidRPr="005C6AE2">
        <w:rPr>
          <w:lang w:eastAsia="zh-CN"/>
        </w:rPr>
        <w:t>.</w:t>
      </w:r>
    </w:p>
    <w:p w14:paraId="4C58B4F9" w14:textId="40E005DD" w:rsidR="002423A6" w:rsidRPr="005C6AE2" w:rsidRDefault="006D337F" w:rsidP="00EC0A74">
      <w:pPr>
        <w:pStyle w:val="af2"/>
        <w:numPr>
          <w:ilvl w:val="0"/>
          <w:numId w:val="6"/>
        </w:numPr>
        <w:ind w:firstLineChars="0"/>
        <w:rPr>
          <w:lang w:eastAsia="zh-CN"/>
        </w:rPr>
      </w:pPr>
      <w:r w:rsidRPr="006D337F">
        <w:t>3GPP TS 38.306</w:t>
      </w:r>
      <w:r>
        <w:t>, User Equipment (UE) radio access capabilities (Release 18)</w:t>
      </w:r>
      <w:r w:rsidRPr="006D337F">
        <w:t xml:space="preserve"> V18.0.0</w:t>
      </w:r>
      <w:r w:rsidR="00F82529" w:rsidRPr="005C6AE2">
        <w:rPr>
          <w:lang w:eastAsia="zh-CN"/>
        </w:rPr>
        <w:t>.</w:t>
      </w:r>
      <w:r>
        <w:rPr>
          <w:lang w:eastAsia="zh-CN"/>
        </w:rPr>
        <w:t xml:space="preserve"> </w:t>
      </w:r>
    </w:p>
    <w:p w14:paraId="5F59DE8E" w14:textId="3DB402CD" w:rsidR="00661311" w:rsidRDefault="00661311" w:rsidP="007C0575">
      <w:pPr>
        <w:pStyle w:val="af2"/>
        <w:ind w:left="420" w:firstLineChars="0" w:firstLine="0"/>
        <w:rPr>
          <w:lang w:eastAsia="zh-CN"/>
        </w:rPr>
      </w:pPr>
    </w:p>
    <w:p w14:paraId="3DDC4D23" w14:textId="5528916A" w:rsidR="006C6C6F" w:rsidRDefault="006C6C6F">
      <w:pPr>
        <w:autoSpaceDE/>
        <w:autoSpaceDN/>
        <w:adjustRightInd/>
        <w:snapToGrid/>
        <w:spacing w:after="0"/>
        <w:jc w:val="left"/>
        <w:rPr>
          <w:lang w:eastAsia="zh-CN"/>
        </w:rPr>
      </w:pPr>
      <w:r>
        <w:rPr>
          <w:lang w:eastAsia="zh-CN"/>
        </w:rPr>
        <w:br w:type="page"/>
      </w:r>
    </w:p>
    <w:p w14:paraId="279FE771" w14:textId="066A472F" w:rsidR="00350340" w:rsidRDefault="00350340" w:rsidP="00350340">
      <w:pPr>
        <w:pStyle w:val="1"/>
        <w:spacing w:after="100"/>
        <w:rPr>
          <w:lang w:eastAsia="zh-CN"/>
        </w:rPr>
      </w:pPr>
      <w:r>
        <w:rPr>
          <w:lang w:eastAsia="zh-CN"/>
        </w:rPr>
        <w:lastRenderedPageBreak/>
        <w:t>A</w:t>
      </w:r>
      <w:r>
        <w:rPr>
          <w:rFonts w:hint="eastAsia"/>
          <w:lang w:eastAsia="zh-CN"/>
        </w:rPr>
        <w:t>ppendix</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D337F" w:rsidRPr="00936461" w14:paraId="358E534A" w14:textId="77777777" w:rsidTr="00076296">
        <w:trPr>
          <w:cantSplit/>
          <w:tblHeader/>
        </w:trPr>
        <w:tc>
          <w:tcPr>
            <w:tcW w:w="6917" w:type="dxa"/>
          </w:tcPr>
          <w:p w14:paraId="2474093B" w14:textId="77777777" w:rsidR="006D337F" w:rsidRPr="00936461" w:rsidRDefault="006D337F" w:rsidP="00076296">
            <w:pPr>
              <w:pStyle w:val="TAL"/>
              <w:rPr>
                <w:b/>
                <w:bCs/>
                <w:i/>
                <w:iCs/>
              </w:rPr>
            </w:pPr>
            <w:r w:rsidRPr="00936461">
              <w:rPr>
                <w:b/>
                <w:bCs/>
                <w:i/>
                <w:iCs/>
              </w:rPr>
              <w:t>intraSlotTDM-UnicastGroupCommonPDSCH-r17</w:t>
            </w:r>
          </w:p>
          <w:p w14:paraId="1292D17C" w14:textId="77777777" w:rsidR="006D337F" w:rsidRPr="00936461" w:rsidRDefault="006D337F" w:rsidP="00076296">
            <w:pPr>
              <w:pStyle w:val="TAL"/>
            </w:pPr>
            <w:r w:rsidRPr="0093646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257B4C9A" w14:textId="77777777" w:rsidR="006D337F" w:rsidRPr="00936461" w:rsidRDefault="006D337F" w:rsidP="00076296">
            <w:pPr>
              <w:pStyle w:val="TAL"/>
            </w:pPr>
          </w:p>
          <w:p w14:paraId="06367F86" w14:textId="77777777" w:rsidR="006D337F" w:rsidRPr="00936461" w:rsidRDefault="006D337F" w:rsidP="00076296">
            <w:pPr>
              <w:pStyle w:val="TAL"/>
            </w:pPr>
            <w:r w:rsidRPr="00936461">
              <w:t>This feature includes the following functional components:</w:t>
            </w:r>
          </w:p>
          <w:p w14:paraId="73C6E768" w14:textId="77777777" w:rsidR="006D337F" w:rsidRPr="00936461" w:rsidRDefault="006D337F" w:rsidP="00076296">
            <w:pPr>
              <w:pStyle w:val="TAL"/>
            </w:pPr>
          </w:p>
          <w:p w14:paraId="30A875AC" w14:textId="77777777" w:rsidR="006D337F" w:rsidRPr="00936461" w:rsidRDefault="006D337F" w:rsidP="00076296">
            <w:pPr>
              <w:pStyle w:val="B1"/>
              <w:spacing w:after="0"/>
              <w:ind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TDM between one unicast PDSCH and one group-common PDSCH in a slot;</w:t>
            </w:r>
          </w:p>
          <w:p w14:paraId="49B708BF" w14:textId="77777777" w:rsidR="006D337F" w:rsidRPr="00936461" w:rsidRDefault="006D337F" w:rsidP="00076296">
            <w:pPr>
              <w:pStyle w:val="B1"/>
              <w:spacing w:after="0"/>
              <w:ind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M (M&gt;1) TDMed unicast PDSCHs and one group-common PDSCH in a slot per CC;</w:t>
            </w:r>
          </w:p>
          <w:p w14:paraId="0DD7693F" w14:textId="77777777" w:rsidR="006D337F" w:rsidRPr="00936461" w:rsidRDefault="006D337F" w:rsidP="00076296">
            <w:pPr>
              <w:pStyle w:val="B1"/>
              <w:spacing w:after="0"/>
              <w:ind w:firstLine="360"/>
            </w:pPr>
            <w:r w:rsidRPr="00936461">
              <w:rPr>
                <w:rFonts w:ascii="Arial" w:hAnsi="Arial" w:cs="Arial"/>
                <w:sz w:val="18"/>
                <w:szCs w:val="18"/>
              </w:rPr>
              <w:t>-</w:t>
            </w:r>
            <w:r w:rsidRPr="00936461">
              <w:rPr>
                <w:rFonts w:ascii="Arial" w:hAnsi="Arial" w:cs="Arial"/>
                <w:sz w:val="18"/>
                <w:szCs w:val="18"/>
              </w:rPr>
              <w:tab/>
              <w:t>Support TDM among N (N&gt;1) group-common PDSCHs in a slot per CC;</w:t>
            </w:r>
          </w:p>
          <w:p w14:paraId="1BED51E8" w14:textId="77777777" w:rsidR="006D337F" w:rsidRPr="00936461" w:rsidRDefault="006D337F" w:rsidP="00076296">
            <w:pPr>
              <w:pStyle w:val="B1"/>
              <w:spacing w:after="0"/>
              <w:ind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K (K&gt;1) TDMed unicast PDSCHs and L (L&gt;1) TDMed group-common PDSCHs in a slot per CC;</w:t>
            </w:r>
          </w:p>
          <w:p w14:paraId="7A6BF7B6" w14:textId="77777777" w:rsidR="006D337F" w:rsidRPr="00936461" w:rsidRDefault="006D337F" w:rsidP="00076296">
            <w:pPr>
              <w:pStyle w:val="B1"/>
              <w:spacing w:after="0"/>
              <w:ind w:firstLine="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maximum number of TDMed PDSCH receptions capability in a slot per CC is kept based on </w:t>
            </w:r>
            <w:r w:rsidRPr="00936461">
              <w:rPr>
                <w:rFonts w:ascii="Arial" w:hAnsi="Arial" w:cs="Arial"/>
                <w:i/>
                <w:iCs/>
                <w:sz w:val="18"/>
                <w:szCs w:val="18"/>
              </w:rPr>
              <w:t>pdsch-ProcessingType1-DifferentTB-PerSlot</w:t>
            </w:r>
            <w:r w:rsidRPr="00936461">
              <w:rPr>
                <w:rFonts w:ascii="Arial" w:hAnsi="Arial" w:cs="Arial"/>
                <w:sz w:val="18"/>
                <w:szCs w:val="18"/>
              </w:rPr>
              <w:t>;</w:t>
            </w:r>
          </w:p>
          <w:p w14:paraId="1B0AF76E" w14:textId="77777777" w:rsidR="006D337F" w:rsidRPr="00936461" w:rsidRDefault="006D337F" w:rsidP="00076296">
            <w:pPr>
              <w:pStyle w:val="B1"/>
              <w:spacing w:after="0"/>
              <w:ind w:firstLine="360"/>
            </w:pPr>
            <w:r w:rsidRPr="00936461">
              <w:rPr>
                <w:rFonts w:ascii="Arial" w:hAnsi="Arial" w:cs="Arial"/>
                <w:sz w:val="18"/>
                <w:szCs w:val="18"/>
              </w:rPr>
              <w:t>-</w:t>
            </w:r>
            <w:r w:rsidRPr="00936461">
              <w:rPr>
                <w:rFonts w:ascii="Arial" w:hAnsi="Arial" w:cs="Arial"/>
                <w:sz w:val="18"/>
                <w:szCs w:val="18"/>
              </w:rPr>
              <w:tab/>
              <w:t>Up to one broadcast PDSCH is supported in a slot.</w:t>
            </w:r>
          </w:p>
          <w:p w14:paraId="0EC3099C" w14:textId="77777777" w:rsidR="006D337F" w:rsidRPr="00936461" w:rsidRDefault="006D337F" w:rsidP="00076296">
            <w:pPr>
              <w:pStyle w:val="TAL"/>
            </w:pPr>
          </w:p>
          <w:p w14:paraId="6B54668F" w14:textId="77777777" w:rsidR="006D337F" w:rsidRPr="00936461" w:rsidRDefault="006D337F" w:rsidP="00076296">
            <w:pPr>
              <w:pStyle w:val="TAL"/>
            </w:pPr>
            <w:r w:rsidRPr="00936461">
              <w:t xml:space="preserve">A UE supporting this feature shall support </w:t>
            </w:r>
            <w:r w:rsidRPr="00936461">
              <w:rPr>
                <w:rFonts w:cs="Arial"/>
                <w:szCs w:val="18"/>
              </w:rPr>
              <w:t xml:space="preserve">broadcast reception as specified in clause 5.10 and/or </w:t>
            </w:r>
            <w:r w:rsidRPr="00936461">
              <w:t xml:space="preserve">indicate support of </w:t>
            </w:r>
            <w:r w:rsidRPr="00936461">
              <w:rPr>
                <w:i/>
                <w:iCs/>
              </w:rPr>
              <w:t>dynamicMulticastPCell-r17</w:t>
            </w:r>
            <w:r w:rsidRPr="00936461">
              <w:t xml:space="preserve">, and shall indicate support of </w:t>
            </w:r>
            <w:r w:rsidRPr="00936461">
              <w:rPr>
                <w:i/>
                <w:iCs/>
              </w:rPr>
              <w:t>pdsch-ProcessingType1-DifferentTB-PerSlot</w:t>
            </w:r>
            <w:r w:rsidRPr="00936461">
              <w:t>.</w:t>
            </w:r>
          </w:p>
          <w:p w14:paraId="1FEF6154" w14:textId="77777777" w:rsidR="006D337F" w:rsidRPr="00936461" w:rsidRDefault="006D337F" w:rsidP="00076296">
            <w:pPr>
              <w:pStyle w:val="TAL"/>
            </w:pPr>
          </w:p>
          <w:p w14:paraId="3D75A437" w14:textId="77777777" w:rsidR="006D337F" w:rsidRPr="00936461" w:rsidRDefault="006D337F" w:rsidP="00076296">
            <w:pPr>
              <w:pStyle w:val="TAN"/>
              <w:ind w:left="440"/>
            </w:pPr>
            <w:r w:rsidRPr="00936461">
              <w:t>NOTE1:</w:t>
            </w:r>
            <w:r w:rsidRPr="00936461">
              <w:tab/>
              <w:t>Group-common PDSCH(s) are counted as unicast PDSCH(s).</w:t>
            </w:r>
          </w:p>
          <w:p w14:paraId="65299D82" w14:textId="77777777" w:rsidR="006D337F" w:rsidRPr="00936461" w:rsidRDefault="006D337F" w:rsidP="00076296">
            <w:pPr>
              <w:pStyle w:val="TAN"/>
              <w:ind w:left="440"/>
            </w:pPr>
            <w:r w:rsidRPr="00936461">
              <w:t>NOTE2:</w:t>
            </w:r>
            <w:r w:rsidRPr="00936461">
              <w:tab/>
              <w:t xml:space="preserve">The max number of (M+1), N, (K+L) are determined based on the numbers reported by </w:t>
            </w:r>
            <w:r w:rsidRPr="00936461">
              <w:rPr>
                <w:i/>
                <w:iCs/>
              </w:rPr>
              <w:t>pdsch-ProcessingType1-DifferentTB-PerSlot</w:t>
            </w:r>
            <w:r w:rsidRPr="00936461">
              <w:t>.</w:t>
            </w:r>
          </w:p>
        </w:tc>
        <w:tc>
          <w:tcPr>
            <w:tcW w:w="709" w:type="dxa"/>
          </w:tcPr>
          <w:p w14:paraId="088C61AA" w14:textId="77777777" w:rsidR="006D337F" w:rsidRPr="00936461" w:rsidRDefault="006D337F" w:rsidP="00076296">
            <w:pPr>
              <w:pStyle w:val="TAL"/>
              <w:jc w:val="center"/>
            </w:pPr>
            <w:r w:rsidRPr="00936461">
              <w:t>FSPC</w:t>
            </w:r>
          </w:p>
        </w:tc>
        <w:tc>
          <w:tcPr>
            <w:tcW w:w="567" w:type="dxa"/>
          </w:tcPr>
          <w:p w14:paraId="0C8B7DA5" w14:textId="77777777" w:rsidR="006D337F" w:rsidRPr="00936461" w:rsidRDefault="006D337F" w:rsidP="00076296">
            <w:pPr>
              <w:pStyle w:val="TAL"/>
              <w:jc w:val="center"/>
              <w:rPr>
                <w:bCs/>
                <w:iCs/>
              </w:rPr>
            </w:pPr>
            <w:r w:rsidRPr="00936461">
              <w:rPr>
                <w:bCs/>
                <w:iCs/>
              </w:rPr>
              <w:t>No</w:t>
            </w:r>
          </w:p>
        </w:tc>
        <w:tc>
          <w:tcPr>
            <w:tcW w:w="709" w:type="dxa"/>
          </w:tcPr>
          <w:p w14:paraId="5E5FCFF9" w14:textId="77777777" w:rsidR="006D337F" w:rsidRPr="00936461" w:rsidRDefault="006D337F" w:rsidP="00076296">
            <w:pPr>
              <w:pStyle w:val="TAL"/>
              <w:jc w:val="center"/>
              <w:rPr>
                <w:bCs/>
                <w:iCs/>
              </w:rPr>
            </w:pPr>
            <w:r w:rsidRPr="00936461">
              <w:rPr>
                <w:bCs/>
                <w:iCs/>
              </w:rPr>
              <w:t>N/A</w:t>
            </w:r>
          </w:p>
        </w:tc>
        <w:tc>
          <w:tcPr>
            <w:tcW w:w="728" w:type="dxa"/>
          </w:tcPr>
          <w:p w14:paraId="1CBA63AB" w14:textId="77777777" w:rsidR="006D337F" w:rsidRPr="00936461" w:rsidRDefault="006D337F" w:rsidP="00076296">
            <w:pPr>
              <w:pStyle w:val="TAL"/>
              <w:jc w:val="center"/>
              <w:rPr>
                <w:bCs/>
                <w:iCs/>
              </w:rPr>
            </w:pPr>
            <w:r w:rsidRPr="00936461">
              <w:rPr>
                <w:bCs/>
                <w:iCs/>
              </w:rPr>
              <w:t>N/A</w:t>
            </w:r>
          </w:p>
        </w:tc>
      </w:tr>
    </w:tbl>
    <w:p w14:paraId="7BCB2DBD" w14:textId="5B710171" w:rsidR="000A298E" w:rsidRPr="00AB6756" w:rsidRDefault="000A298E" w:rsidP="001270B0">
      <w:pPr>
        <w:rPr>
          <w:highlight w:val="yellow"/>
          <w:lang w:eastAsia="zh-CN"/>
        </w:rPr>
      </w:pPr>
    </w:p>
    <w:sectPr w:rsidR="000A298E" w:rsidRPr="00AB67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72562" w14:textId="77777777" w:rsidR="00C17FFC" w:rsidRDefault="00C17FFC">
      <w:r>
        <w:separator/>
      </w:r>
    </w:p>
  </w:endnote>
  <w:endnote w:type="continuationSeparator" w:id="0">
    <w:p w14:paraId="20F43248" w14:textId="77777777" w:rsidR="00C17FFC" w:rsidRDefault="00C17FFC">
      <w:r>
        <w:continuationSeparator/>
      </w:r>
    </w:p>
  </w:endnote>
  <w:endnote w:type="continuationNotice" w:id="1">
    <w:p w14:paraId="6705F655" w14:textId="77777777" w:rsidR="00C17FFC" w:rsidRDefault="00C17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553F" w14:textId="77777777" w:rsidR="00C17FFC" w:rsidRDefault="00C17FFC">
      <w:r>
        <w:separator/>
      </w:r>
    </w:p>
  </w:footnote>
  <w:footnote w:type="continuationSeparator" w:id="0">
    <w:p w14:paraId="676794A3" w14:textId="77777777" w:rsidR="00C17FFC" w:rsidRDefault="00C17FFC">
      <w:r>
        <w:continuationSeparator/>
      </w:r>
    </w:p>
  </w:footnote>
  <w:footnote w:type="continuationNotice" w:id="1">
    <w:p w14:paraId="1869BF57" w14:textId="77777777" w:rsidR="00C17FFC" w:rsidRDefault="00C17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BB"/>
    <w:multiLevelType w:val="hybridMultilevel"/>
    <w:tmpl w:val="D8C811E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7003F3"/>
    <w:multiLevelType w:val="hybridMultilevel"/>
    <w:tmpl w:val="7C80BB3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4C2275"/>
    <w:multiLevelType w:val="hybridMultilevel"/>
    <w:tmpl w:val="A694F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AF2D48"/>
    <w:multiLevelType w:val="hybridMultilevel"/>
    <w:tmpl w:val="B0C87BF6"/>
    <w:lvl w:ilvl="0" w:tplc="0409000D">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4"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25"/>
  </w:num>
  <w:num w:numId="4">
    <w:abstractNumId w:val="26"/>
  </w:num>
  <w:num w:numId="5">
    <w:abstractNumId w:val="20"/>
  </w:num>
  <w:num w:numId="6">
    <w:abstractNumId w:val="9"/>
  </w:num>
  <w:num w:numId="7">
    <w:abstractNumId w:val="14"/>
  </w:num>
  <w:num w:numId="8">
    <w:abstractNumId w:val="27"/>
  </w:num>
  <w:num w:numId="9">
    <w:abstractNumId w:val="0"/>
  </w:num>
  <w:num w:numId="10">
    <w:abstractNumId w:val="15"/>
  </w:num>
  <w:num w:numId="11">
    <w:abstractNumId w:val="2"/>
  </w:num>
  <w:num w:numId="12">
    <w:abstractNumId w:val="21"/>
  </w:num>
  <w:num w:numId="13">
    <w:abstractNumId w:val="13"/>
  </w:num>
  <w:num w:numId="14">
    <w:abstractNumId w:val="22"/>
  </w:num>
  <w:num w:numId="15">
    <w:abstractNumId w:val="18"/>
  </w:num>
  <w:num w:numId="16">
    <w:abstractNumId w:val="8"/>
  </w:num>
  <w:num w:numId="17">
    <w:abstractNumId w:val="12"/>
  </w:num>
  <w:num w:numId="18">
    <w:abstractNumId w:val="19"/>
  </w:num>
  <w:num w:numId="19">
    <w:abstractNumId w:val="23"/>
  </w:num>
  <w:num w:numId="20">
    <w:abstractNumId w:val="24"/>
  </w:num>
  <w:num w:numId="21">
    <w:abstractNumId w:val="4"/>
  </w:num>
  <w:num w:numId="22">
    <w:abstractNumId w:val="3"/>
  </w:num>
  <w:num w:numId="23">
    <w:abstractNumId w:val="1"/>
  </w:num>
  <w:num w:numId="24">
    <w:abstractNumId w:val="6"/>
  </w:num>
  <w:num w:numId="25">
    <w:abstractNumId w:val="5"/>
  </w:num>
  <w:num w:numId="26">
    <w:abstractNumId w:val="7"/>
  </w:num>
  <w:num w:numId="27">
    <w:abstractNumId w:val="10"/>
  </w:num>
  <w:num w:numId="28">
    <w:abstractNumId w:val="16"/>
  </w:num>
  <w:num w:numId="29">
    <w:abstractNumId w:val="20"/>
  </w:num>
  <w:num w:numId="30">
    <w:abstractNumId w:val="20"/>
  </w:num>
  <w:num w:numId="31">
    <w:abstractNumId w:val="20"/>
  </w:num>
  <w:num w:numId="3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C4"/>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A77"/>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917"/>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C21"/>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37F"/>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99"/>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B5B"/>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4A8"/>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D4E"/>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6EB0"/>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1BE"/>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17FFC"/>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AE2"/>
    <w:rsid w:val="00DD5C88"/>
    <w:rsid w:val="00DD5EC4"/>
    <w:rsid w:val="00DD5F42"/>
    <w:rsid w:val="00DD60AD"/>
    <w:rsid w:val="00DD617B"/>
    <w:rsid w:val="00DD6A37"/>
    <w:rsid w:val="00DD70EC"/>
    <w:rsid w:val="00DD7261"/>
    <w:rsid w:val="00DD7E09"/>
    <w:rsid w:val="00DD7FAF"/>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05C"/>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5A"/>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TAN">
    <w:name w:val="TAN"/>
    <w:basedOn w:val="TAL"/>
    <w:link w:val="TANChar"/>
    <w:qFormat/>
    <w:rsid w:val="00EA005C"/>
    <w:pPr>
      <w:overflowPunct w:val="0"/>
      <w:autoSpaceDE w:val="0"/>
      <w:autoSpaceDN w:val="0"/>
      <w:adjustRightInd w:val="0"/>
      <w:spacing w:line="240" w:lineRule="auto"/>
      <w:ind w:left="851" w:hanging="851"/>
      <w:jc w:val="left"/>
      <w:textAlignment w:val="baseline"/>
    </w:pPr>
    <w:rPr>
      <w:rFonts w:eastAsia="Times New Roman"/>
      <w:lang w:eastAsia="ja-JP"/>
    </w:rPr>
  </w:style>
  <w:style w:type="character" w:customStyle="1" w:styleId="TANChar">
    <w:name w:val="TAN Char"/>
    <w:link w:val="TAN"/>
    <w:locked/>
    <w:rsid w:val="00EA005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AE19-164F-47C4-ABF7-07BA2972E98E}">
  <ds:schemaRefs>
    <ds:schemaRef ds:uri="http://schemas.openxmlformats.org/officeDocument/2006/bibliography"/>
  </ds:schemaRefs>
</ds:datastoreItem>
</file>

<file path=customXml/itemProps2.xml><?xml version="1.0" encoding="utf-8"?>
<ds:datastoreItem xmlns:ds="http://schemas.openxmlformats.org/officeDocument/2006/customXml" ds:itemID="{35FEFA5F-80AE-4169-9153-B360BC59EE20}">
  <ds:schemaRefs>
    <ds:schemaRef ds:uri="http://schemas.openxmlformats.org/officeDocument/2006/bibliography"/>
  </ds:schemaRefs>
</ds:datastoreItem>
</file>

<file path=customXml/itemProps3.xml><?xml version="1.0" encoding="utf-8"?>
<ds:datastoreItem xmlns:ds="http://schemas.openxmlformats.org/officeDocument/2006/customXml" ds:itemID="{F42F0E9D-45A3-411C-A229-2F04850FEDA2}">
  <ds:schemaRefs>
    <ds:schemaRef ds:uri="http://schemas.openxmlformats.org/officeDocument/2006/bibliography"/>
  </ds:schemaRefs>
</ds:datastoreItem>
</file>

<file path=customXml/itemProps4.xml><?xml version="1.0" encoding="utf-8"?>
<ds:datastoreItem xmlns:ds="http://schemas.openxmlformats.org/officeDocument/2006/customXml" ds:itemID="{42373E8C-21FD-4A8A-B562-82F225628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2024-02-19T05:39:00Z</dcterms:created>
  <dcterms:modified xsi:type="dcterms:W3CDTF">2024-02-19T05:39:00Z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